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DD" w:rsidRPr="00DF6602" w:rsidRDefault="004B63DD" w:rsidP="004B63DD">
      <w:pPr>
        <w:spacing w:after="0" w:line="288" w:lineRule="atLeast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ПРОЕКТ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Default="004B63DD" w:rsidP="004B63DD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распределения и правила предоставления из областного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бюджетам муниципальных образований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Ивановской области иных межбюджетных трансфертов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ежемесячное денежное вознаграждение советникам директоров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воспитанию и взаимодействию с детскими общественными </w:t>
      </w:r>
    </w:p>
    <w:p w:rsidR="004B63DD" w:rsidRPr="00BD1CC3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C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объединениями муниципальных общеобразовательных организаций </w:t>
      </w:r>
    </w:p>
    <w:p w:rsidR="004B63DD" w:rsidRPr="00DF6602" w:rsidRDefault="004B63DD" w:rsidP="004B63DD">
      <w:pPr>
        <w:spacing w:after="0" w:line="288" w:lineRule="atLeast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> 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1. Настоящие Методика и правила определяют цель, условия и правила предоставления из областного бюджета бюджетам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иных межбюджетных трансфертов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(далее соответственно - советники директоров, образовательные организации, иные межбюджетные трансферты).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167"/>
      <w:bookmarkEnd w:id="0"/>
      <w:r w:rsidRPr="00DF6602">
        <w:rPr>
          <w:rFonts w:ascii="Times New Roman" w:eastAsia="Times New Roman" w:hAnsi="Times New Roman" w:cs="Times New Roman"/>
          <w:lang w:eastAsia="ru-RU"/>
        </w:rPr>
        <w:t xml:space="preserve">2. Иные межбюджетные трансферты предоставляются в целях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софинансирования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в полном объеме расходных обязательств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области, возникающих при выполнении органами местного самоуправления муниципальных </w:t>
      </w:r>
      <w:r>
        <w:rPr>
          <w:rFonts w:ascii="Times New Roman" w:eastAsia="Times New Roman" w:hAnsi="Times New Roman" w:cs="Times New Roman"/>
          <w:lang w:eastAsia="ru-RU"/>
        </w:rPr>
        <w:t xml:space="preserve">образований 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Ивановской области полномочий в сфере образования, в части осуществления выплат ежемесячного денежного вознаграждения советникам директоров (включая выплату среднего заработка в установленных законодательством случаях, начисленного с суммы выплаченной надбавки, учтенной в расчете данного среднего заработка).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3. Критерием отбора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для предоставления иного межбюджетного трансферта является наличие потребности муниципального </w:t>
      </w:r>
      <w:r>
        <w:rPr>
          <w:rFonts w:ascii="Times New Roman" w:eastAsia="Times New Roman" w:hAnsi="Times New Roman" w:cs="Times New Roman"/>
          <w:lang w:eastAsia="ru-RU"/>
        </w:rPr>
        <w:t xml:space="preserve">образования 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Ивановской области в обеспечении выплат ежемесячного денежного вознаграждения советникам директоров исходя из прогнозируемой численности педагогических работников образовательных организаций в должности "советник директора по воспитанию и взаимодействию с детскими общественными объединениями" в образовательных организациях на начало учебного года.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169"/>
      <w:bookmarkEnd w:id="1"/>
      <w:r w:rsidRPr="00DF6602">
        <w:rPr>
          <w:rFonts w:ascii="Times New Roman" w:eastAsia="Times New Roman" w:hAnsi="Times New Roman" w:cs="Times New Roman"/>
          <w:lang w:eastAsia="ru-RU"/>
        </w:rPr>
        <w:t xml:space="preserve">4. Размер предоставляемого бюджету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иного межбюджетного трансферта (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Тсi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) определяется формуле: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Тсi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= С x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Нi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x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Nм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x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Sвзн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, где: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С - 5 тыс. рублей - размер выплаты ежемесячного денежного вознаграждения советникам директоров (но не более одной выплаты ежемесячного денежного вознаграждения одному педагогическому работнику образовательной организации при осуществлении трудовых функций советника директора в 2 и более образовательных организациях);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Nм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- количество месяцев в году, в которые выплачивается ежемесячное денежное вознаграждение советникам директоров;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Sвзн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- страховые взносы в государственные внебюджетные фонды Российской Федерации (Фонд пенсионного и социального страхования Российской Федерации на обязательное пенсионное страхование, на обязательное социальное страхование на случай временной нетрудоспособности и в связи с материнством и обязательное социальное страхование от несчастных случаев на </w:t>
      </w:r>
      <w:r w:rsidRPr="00DF6602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 и профессиональных заболеваний, Федеральный фонд обязательного медицинского страхования на обязательное медицинское страхование).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Прогнозируемое количество советников директоров, заявленное органом местного самоуправления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области, рассчитывается по формуле: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Нi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= Н1i + Н2i, где: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Н1i - количество советников директоров, осуществляющих трудовые функции в одной образовательной организации;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Н2i - количество советников директоров, осуществляющих трудовые функции в 2 и более образовательных организациях.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5. Распределение иных межбюджетных трансфертов осуществляется в соответствии с </w:t>
      </w:r>
      <w:hyperlink w:anchor="p169" w:history="1">
        <w:r w:rsidRPr="00DF660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пунктом 4</w:t>
        </w:r>
      </w:hyperlink>
      <w:r w:rsidRPr="00DF6602">
        <w:rPr>
          <w:rFonts w:ascii="Times New Roman" w:eastAsia="Times New Roman" w:hAnsi="Times New Roman" w:cs="Times New Roman"/>
          <w:lang w:eastAsia="ru-RU"/>
        </w:rPr>
        <w:t xml:space="preserve"> настоящих Методики и правил и утверждается в порядке, предусмотренном бюджетным законодательством Российской Федерации.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6. Иные межбюджетные трансферты предоставляются бюджетам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в пределах бюджетных ассигнований, предусмотренных законом Ивановской области об областном бюджете (сводной бюджетной росписью областного бюджета) на очередной финансовый год и на плановый период, источником финансового обеспечения которых является иной межбюджетный трансферт из федерального бюджета, и лимитов бюджетных обязательств, доведенных до Департамента образования и науки Ивановской области (далее - Департамент) - главного распорядителя бюджетных средств, на цель, указанную в </w:t>
      </w:r>
      <w:hyperlink w:anchor="p167" w:history="1">
        <w:r w:rsidRPr="00DF660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пункте 2</w:t>
        </w:r>
      </w:hyperlink>
      <w:r w:rsidRPr="00DF6602">
        <w:rPr>
          <w:rFonts w:ascii="Times New Roman" w:eastAsia="Times New Roman" w:hAnsi="Times New Roman" w:cs="Times New Roman"/>
          <w:lang w:eastAsia="ru-RU"/>
        </w:rPr>
        <w:t xml:space="preserve"> настоящих Методики и правил.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Условиями предоставления иных межбюджетных трансфертов являются: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а) наличие муниципального правового акта, устанавливающего расходное обязательство, в целях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софинансирования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которого предоставляются иные межбюджетные трансферты;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б) заключение между Департаментом и уполномоченными органами местного самоуправления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соглашения о предоставлении иного межбюджетного трансферта из областного бюджета бюджету муниципального </w:t>
      </w:r>
      <w:r>
        <w:rPr>
          <w:rFonts w:ascii="Times New Roman" w:eastAsia="Times New Roman" w:hAnsi="Times New Roman" w:cs="Times New Roman"/>
          <w:lang w:eastAsia="ru-RU"/>
        </w:rPr>
        <w:t xml:space="preserve">образования 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Ивановской области (далее - Соглашение).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7. Предоставление иных межбюджетных трансфертов бюджетам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осуществляется Департаментом на основании Соглашений, заключаемых по форме, аналогичной типовой форме, утверждаемой Министерством финансов Российской Федерации для соглашений о предоставлении иных межбюджетных трансфертов из федерального бюджета бюджетам субъектов Российской Федерации.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Для заключения Соглашения уполномоченный орган местного самоуправления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представляет в Департамент заверенную органом местного самоуправления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копию муниципального правового акта, устанавливающего расходное обязательство, в целях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софинансирования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которого предоставляются иные межбюджетные трансферты.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8. Перечисление иных межбюджетных трансфертов из областного бюджета в бюджет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осуществляется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 в пределах суммы, необходимой для оплаты денежных обязательств, в порядке, установленном Федеральным казначейством.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lastRenderedPageBreak/>
        <w:t xml:space="preserve">9. Органы местного самоуправления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представляют в Департамент по форме и в сроки, определенные Соглашением: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отчет об осуществлении расходов иного межбюджетного трансферта;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отчет о достижении значения результата предоставления иного межбюджетного трансферта.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10. Оценка эффективности предоставления иных межбюджетных трансфертов осуществляется Департаментом на основании сравнения плановых и фактических значений результата предоставления иного межбюджетного трансферта: "Количество предоставленных выплат ежемесячного денежного вознаграждения советникам директоров, в общем количестве запланированных выплат".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11. Значение результата предоставления иных межбюджетных трансфертов и обязательства по его исполнению устанавливаются в Соглашении.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12. Ответственность за недостоверность представляемых Департаменту сведений и нецелевое использование иных межбюджетных трансфертов возлагается на органы местного самоуправления муниципальных </w:t>
      </w:r>
      <w:r>
        <w:rPr>
          <w:rFonts w:ascii="Times New Roman" w:eastAsia="Times New Roman" w:hAnsi="Times New Roman" w:cs="Times New Roman"/>
          <w:lang w:eastAsia="ru-RU"/>
        </w:rPr>
        <w:t>образований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13. В случае нецелевого использования иного межбюджетного трансферта и (или) нарушения муниципальным </w:t>
      </w:r>
      <w:r>
        <w:rPr>
          <w:rFonts w:ascii="Times New Roman" w:eastAsia="Times New Roman" w:hAnsi="Times New Roman" w:cs="Times New Roman"/>
          <w:lang w:eastAsia="ru-RU"/>
        </w:rPr>
        <w:t>образованием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условий его предоставления к нему применяются бюджетные меры принуждения в соответствии с бюджетным законодательством Российской Федерации.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197"/>
      <w:bookmarkEnd w:id="2"/>
      <w:r w:rsidRPr="00DF6602">
        <w:rPr>
          <w:rFonts w:ascii="Times New Roman" w:eastAsia="Times New Roman" w:hAnsi="Times New Roman" w:cs="Times New Roman"/>
          <w:lang w:eastAsia="ru-RU"/>
        </w:rPr>
        <w:t xml:space="preserve">14. В случае если муниципальным </w:t>
      </w:r>
      <w:r>
        <w:rPr>
          <w:rFonts w:ascii="Times New Roman" w:eastAsia="Times New Roman" w:hAnsi="Times New Roman" w:cs="Times New Roman"/>
          <w:lang w:eastAsia="ru-RU"/>
        </w:rPr>
        <w:t>образованием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по состоянию на 31 декабря текущего финансового года допущено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недостижение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значения результата предоставления иных межбюджетных трансфертов, установленного Соглашением, размер средств, подлежащих возврату из местного бюджета в областной бюджет до 1 марта года, следующего за годом предоставления иных межбюджетных трансфертов (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V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возврата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), определяется по формуле: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V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возврата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= (V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ИМБТ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x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D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) x 0,01, где: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>V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ИМБТ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- иной межбюджетный трансферт, предоставленный бюджету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в отчетном финансовом году;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D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- индекс, отражающий уровень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недостижения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значения i-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результата предоставления иного межбюджетного трансферта, установленного Соглашением.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15. Индекс, отражающий уровень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недостижения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значения i-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результата предоставления иного межбюджетного трансферта (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D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), определяется по формуле: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D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= 1 -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T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/ 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S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, где: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4B63DD" w:rsidRPr="00DF6602" w:rsidRDefault="004B63DD" w:rsidP="004B63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T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- фактически достигнутое значение i-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результата предоставления иного межбюджетного трансферта на отчетную дату;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S</w:t>
      </w:r>
      <w:r w:rsidRPr="00DF6602">
        <w:rPr>
          <w:rFonts w:ascii="Times New Roman" w:eastAsia="Times New Roman" w:hAnsi="Times New Roman" w:cs="Times New Roman"/>
          <w:vertAlign w:val="subscript"/>
          <w:lang w:eastAsia="ru-RU"/>
        </w:rPr>
        <w:t>i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- плановое значение i-</w:t>
      </w:r>
      <w:proofErr w:type="spellStart"/>
      <w:r w:rsidRPr="00DF6602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DF6602">
        <w:rPr>
          <w:rFonts w:ascii="Times New Roman" w:eastAsia="Times New Roman" w:hAnsi="Times New Roman" w:cs="Times New Roman"/>
          <w:lang w:eastAsia="ru-RU"/>
        </w:rPr>
        <w:t xml:space="preserve"> результата предоставления иного межбюджетного трансферта, установленное Соглашением.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16. Основанием для освобождения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от применения мер ответственности, предусмотренных </w:t>
      </w:r>
      <w:hyperlink w:anchor="p197" w:history="1">
        <w:r w:rsidRPr="00DF660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пунктом 14</w:t>
        </w:r>
      </w:hyperlink>
      <w:r w:rsidRPr="00DF6602">
        <w:rPr>
          <w:rFonts w:ascii="Times New Roman" w:eastAsia="Times New Roman" w:hAnsi="Times New Roman" w:cs="Times New Roman"/>
          <w:lang w:eastAsia="ru-RU"/>
        </w:rPr>
        <w:t xml:space="preserve"> настоящих Методики и правил, является документально подтвержденное наступление следующих обстоятельств непреодолимой силы: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lastRenderedPageBreak/>
        <w:t xml:space="preserve">а)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 муниципального </w:t>
      </w:r>
      <w:r>
        <w:rPr>
          <w:rFonts w:ascii="Times New Roman" w:eastAsia="Times New Roman" w:hAnsi="Times New Roman" w:cs="Times New Roman"/>
          <w:lang w:eastAsia="ru-RU"/>
        </w:rPr>
        <w:t>образования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б)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 </w:t>
      </w:r>
    </w:p>
    <w:p w:rsidR="004B63DD" w:rsidRPr="00DF6602" w:rsidRDefault="004B63DD" w:rsidP="004B63D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в)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областях. </w:t>
      </w:r>
    </w:p>
    <w:p w:rsidR="004B63DD" w:rsidRPr="00835398" w:rsidRDefault="004B63DD" w:rsidP="004B63DD">
      <w:pPr>
        <w:spacing w:before="168" w:after="0" w:line="288" w:lineRule="atLeast"/>
        <w:ind w:firstLine="540"/>
        <w:jc w:val="both"/>
        <w:rPr>
          <w:rFonts w:ascii="Times New Roman" w:hAnsi="Times New Roman" w:cs="Times New Roman"/>
        </w:rPr>
      </w:pPr>
      <w:r w:rsidRPr="00DF6602">
        <w:rPr>
          <w:rFonts w:ascii="Times New Roman" w:eastAsia="Times New Roman" w:hAnsi="Times New Roman" w:cs="Times New Roman"/>
          <w:lang w:eastAsia="ru-RU"/>
        </w:rPr>
        <w:t xml:space="preserve">17. Контроль за соблюдением муниципальными </w:t>
      </w:r>
      <w:r>
        <w:rPr>
          <w:rFonts w:ascii="Times New Roman" w:eastAsia="Times New Roman" w:hAnsi="Times New Roman" w:cs="Times New Roman"/>
          <w:lang w:eastAsia="ru-RU"/>
        </w:rPr>
        <w:t>образованиями</w:t>
      </w:r>
      <w:r w:rsidRPr="00DF6602">
        <w:rPr>
          <w:rFonts w:ascii="Times New Roman" w:eastAsia="Times New Roman" w:hAnsi="Times New Roman" w:cs="Times New Roman"/>
          <w:lang w:eastAsia="ru-RU"/>
        </w:rPr>
        <w:t xml:space="preserve"> Ивановской области условий, целей и правил предоставления иных межбюджетных трансфертов осуществляется Департаментом и органами государственного финансового контроля Ивановской области. </w:t>
      </w:r>
    </w:p>
    <w:p w:rsidR="00763855" w:rsidRDefault="00763855">
      <w:bookmarkStart w:id="3" w:name="_GoBack"/>
      <w:bookmarkEnd w:id="3"/>
    </w:p>
    <w:sectPr w:rsidR="0076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DD"/>
    <w:rsid w:val="004B63DD"/>
    <w:rsid w:val="0076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F5FA8-549C-43B1-9DA7-AC2ECE6E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2025-10-15T13:53:00Z</dcterms:created>
  <dcterms:modified xsi:type="dcterms:W3CDTF">2025-10-15T13:56:00Z</dcterms:modified>
</cp:coreProperties>
</file>